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A6" w:rsidRDefault="009F67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67A6" w:rsidRDefault="009F67A6">
      <w:pPr>
        <w:pStyle w:val="ConsPlusNormal"/>
        <w:jc w:val="both"/>
      </w:pPr>
    </w:p>
    <w:p w:rsidR="009F67A6" w:rsidRDefault="009F6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7A6" w:rsidRDefault="009F67A6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14.02.2011.</w:t>
      </w:r>
    </w:p>
    <w:p w:rsidR="009F67A6" w:rsidRDefault="009F6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7A6" w:rsidRDefault="009F67A6">
      <w:pPr>
        <w:pStyle w:val="ConsPlusNormal"/>
        <w:ind w:firstLine="540"/>
        <w:jc w:val="both"/>
      </w:pPr>
      <w:r>
        <w:t>См.:</w:t>
      </w:r>
    </w:p>
    <w:p w:rsidR="009F67A6" w:rsidRDefault="009F67A6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Статья</w:t>
        </w:r>
      </w:hyperlink>
      <w:r>
        <w:t>: Безопасность при эксплуатации бытовых помещений строителей.</w:t>
      </w:r>
    </w:p>
    <w:p w:rsidR="009F67A6" w:rsidRDefault="009F67A6">
      <w:pPr>
        <w:pStyle w:val="ConsPlusNormal"/>
        <w:ind w:firstLine="540"/>
        <w:jc w:val="both"/>
      </w:pPr>
      <w:r>
        <w:t>См. также другие формы из статьи "Безопасность при эксплуатации бытовых помещений строителей".</w:t>
      </w:r>
    </w:p>
    <w:p w:rsidR="009F67A6" w:rsidRDefault="009F6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7A6" w:rsidRDefault="009F67A6">
      <w:pPr>
        <w:pStyle w:val="ConsPlusNormal"/>
        <w:jc w:val="right"/>
      </w:pPr>
      <w:r>
        <w:t>Приложение 2</w:t>
      </w:r>
    </w:p>
    <w:p w:rsidR="009F67A6" w:rsidRDefault="009F67A6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Инструкции</w:t>
        </w:r>
      </w:hyperlink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rmal"/>
        <w:jc w:val="right"/>
      </w:pPr>
      <w:r>
        <w:t>Утверждаю Главный энергетик абонента</w:t>
      </w:r>
    </w:p>
    <w:p w:rsidR="009F67A6" w:rsidRDefault="009F67A6">
      <w:pPr>
        <w:pStyle w:val="ConsPlusNormal"/>
        <w:jc w:val="right"/>
      </w:pPr>
      <w:r>
        <w:t>"__" _____________ 20__ г.</w:t>
      </w:r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rmal"/>
        <w:jc w:val="center"/>
      </w:pPr>
      <w:r>
        <w:t>Акт</w:t>
      </w:r>
    </w:p>
    <w:p w:rsidR="009F67A6" w:rsidRDefault="009F67A6">
      <w:pPr>
        <w:pStyle w:val="ConsPlusNormal"/>
        <w:jc w:val="center"/>
      </w:pPr>
      <w:r>
        <w:t>по разграничению принадлежности и ответственности</w:t>
      </w:r>
    </w:p>
    <w:p w:rsidR="009F67A6" w:rsidRDefault="009F67A6">
      <w:pPr>
        <w:pStyle w:val="ConsPlusNormal"/>
        <w:jc w:val="center"/>
      </w:pPr>
      <w:r>
        <w:t>за эксплуатацию электроустановок до 1000 В</w:t>
      </w:r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nformat"/>
        <w:jc w:val="both"/>
      </w:pPr>
      <w:r>
        <w:t>"__" _________ 20___ г.                                           г. Москва</w:t>
      </w:r>
    </w:p>
    <w:p w:rsidR="009F67A6" w:rsidRDefault="009F67A6">
      <w:pPr>
        <w:pStyle w:val="ConsPlusNonformat"/>
        <w:jc w:val="both"/>
      </w:pPr>
    </w:p>
    <w:p w:rsidR="009F67A6" w:rsidRDefault="009F67A6">
      <w:pPr>
        <w:pStyle w:val="ConsPlusNonformat"/>
        <w:jc w:val="both"/>
      </w:pPr>
      <w:r>
        <w:t>Абонент ____________________________ Субабонент ___________________________</w:t>
      </w:r>
    </w:p>
    <w:p w:rsidR="009F67A6" w:rsidRDefault="009F67A6">
      <w:pPr>
        <w:pStyle w:val="ConsPlusNonformat"/>
        <w:jc w:val="both"/>
      </w:pPr>
      <w:r>
        <w:t>Требуемая категория надежности ____________________________________________</w:t>
      </w:r>
    </w:p>
    <w:p w:rsidR="009F67A6" w:rsidRDefault="009F67A6">
      <w:pPr>
        <w:pStyle w:val="ConsPlusNonformat"/>
        <w:jc w:val="both"/>
      </w:pPr>
      <w:r>
        <w:t>Суммарная установленная мощность токоприемников ________________________ кВ</w:t>
      </w:r>
    </w:p>
    <w:p w:rsidR="009F67A6" w:rsidRDefault="009F67A6">
      <w:pPr>
        <w:pStyle w:val="ConsPlusNonformat"/>
        <w:jc w:val="both"/>
      </w:pPr>
      <w:r>
        <w:t>Суммарная единовременная мощность токоприемников _______________________ кВ</w:t>
      </w:r>
    </w:p>
    <w:p w:rsidR="009F67A6" w:rsidRDefault="009F67A6">
      <w:pPr>
        <w:pStyle w:val="ConsPlusNonformat"/>
        <w:jc w:val="both"/>
      </w:pPr>
      <w:r>
        <w:t>Электроснабжение субабонента осуществляется по схеме:</w:t>
      </w:r>
    </w:p>
    <w:p w:rsidR="009F67A6" w:rsidRDefault="009F67A6">
      <w:pPr>
        <w:pStyle w:val="ConsPlusNonformat"/>
        <w:jc w:val="both"/>
      </w:pPr>
    </w:p>
    <w:p w:rsidR="009F67A6" w:rsidRDefault="009F67A6">
      <w:pPr>
        <w:pStyle w:val="ConsPlusNonformat"/>
        <w:jc w:val="both"/>
      </w:pPr>
      <w:r>
        <w:t xml:space="preserve">                                  (схема)</w:t>
      </w:r>
    </w:p>
    <w:p w:rsidR="009F67A6" w:rsidRDefault="009F67A6">
      <w:pPr>
        <w:pStyle w:val="ConsPlusNonformat"/>
        <w:jc w:val="both"/>
      </w:pPr>
    </w:p>
    <w:p w:rsidR="009F67A6" w:rsidRDefault="009F67A6">
      <w:pPr>
        <w:pStyle w:val="ConsPlusNonformat"/>
        <w:jc w:val="both"/>
      </w:pPr>
      <w:proofErr w:type="gramStart"/>
      <w:r>
        <w:t>Границей  балансовой</w:t>
      </w:r>
      <w:proofErr w:type="gramEnd"/>
      <w:r>
        <w:t xml:space="preserve">  принадлежности  и  ответственности  за  эксплуатацию</w:t>
      </w:r>
    </w:p>
    <w:p w:rsidR="009F67A6" w:rsidRDefault="009F67A6">
      <w:pPr>
        <w:pStyle w:val="ConsPlusNonformat"/>
        <w:jc w:val="both"/>
      </w:pPr>
      <w:r>
        <w:t>электроустановок между абонентом и субабонентом является __________________</w:t>
      </w:r>
    </w:p>
    <w:p w:rsidR="009F67A6" w:rsidRDefault="009F67A6">
      <w:pPr>
        <w:pStyle w:val="ConsPlusNonformat"/>
        <w:jc w:val="both"/>
      </w:pPr>
      <w:r>
        <w:t>Субабоненту разрешена электрическая мощность __________________________ кВ,</w:t>
      </w:r>
    </w:p>
    <w:p w:rsidR="009F67A6" w:rsidRDefault="009F67A6">
      <w:pPr>
        <w:pStyle w:val="ConsPlusNonformat"/>
        <w:jc w:val="both"/>
      </w:pPr>
      <w:r>
        <w:t>при напряжении ______________ В.</w:t>
      </w:r>
    </w:p>
    <w:p w:rsidR="009F67A6" w:rsidRDefault="009F67A6">
      <w:pPr>
        <w:pStyle w:val="ConsPlusNonformat"/>
        <w:jc w:val="both"/>
      </w:pPr>
      <w:proofErr w:type="gramStart"/>
      <w:r>
        <w:t>Общая  защита</w:t>
      </w:r>
      <w:proofErr w:type="gramEnd"/>
      <w:r>
        <w:t xml:space="preserve">  на  вводном  щите  субабонента  должна  быть  установлена  в</w:t>
      </w:r>
    </w:p>
    <w:p w:rsidR="009F67A6" w:rsidRDefault="009F67A6">
      <w:pPr>
        <w:pStyle w:val="ConsPlusNonformat"/>
        <w:jc w:val="both"/>
      </w:pPr>
      <w:r>
        <w:t>соответствии с разрешенной мощностью на ток _____________________________ А</w:t>
      </w:r>
    </w:p>
    <w:p w:rsidR="009F67A6" w:rsidRDefault="009F67A6">
      <w:pPr>
        <w:pStyle w:val="ConsPlusNonformat"/>
        <w:jc w:val="both"/>
      </w:pPr>
      <w:r>
        <w:t>при равномерной нагрузке фаз.</w:t>
      </w:r>
    </w:p>
    <w:p w:rsidR="009F67A6" w:rsidRDefault="009F67A6">
      <w:pPr>
        <w:pStyle w:val="ConsPlusNonformat"/>
        <w:jc w:val="both"/>
      </w:pPr>
      <w:r>
        <w:t xml:space="preserve">Нулевая точка </w:t>
      </w:r>
      <w:proofErr w:type="gramStart"/>
      <w:r>
        <w:t>трансформатора,  от</w:t>
      </w:r>
      <w:proofErr w:type="gramEnd"/>
      <w:r>
        <w:t xml:space="preserve">  которого осуществляется электроснабжение</w:t>
      </w:r>
    </w:p>
    <w:p w:rsidR="009F67A6" w:rsidRDefault="009F67A6">
      <w:pPr>
        <w:pStyle w:val="ConsPlusNonformat"/>
        <w:jc w:val="both"/>
      </w:pPr>
      <w:r>
        <w:t>субабонента, ______________________________________________________________</w:t>
      </w:r>
    </w:p>
    <w:p w:rsidR="009F67A6" w:rsidRDefault="009F67A6">
      <w:pPr>
        <w:pStyle w:val="ConsPlusNonformat"/>
        <w:jc w:val="both"/>
      </w:pPr>
      <w:r>
        <w:t xml:space="preserve">Эксплуатация электрооборудования </w:t>
      </w:r>
      <w:proofErr w:type="gramStart"/>
      <w:r>
        <w:t>субабонента  осуществляется</w:t>
      </w:r>
      <w:proofErr w:type="gramEnd"/>
      <w:r>
        <w:t xml:space="preserve"> своими силами,</w:t>
      </w:r>
    </w:p>
    <w:p w:rsidR="009F67A6" w:rsidRDefault="009F67A6">
      <w:pPr>
        <w:pStyle w:val="ConsPlusNonformat"/>
        <w:jc w:val="both"/>
      </w:pPr>
      <w:r>
        <w:t xml:space="preserve">субабонент   обязан   устранять   </w:t>
      </w:r>
      <w:proofErr w:type="gramStart"/>
      <w:r>
        <w:t>нарушения  и</w:t>
      </w:r>
      <w:proofErr w:type="gramEnd"/>
      <w:r>
        <w:t xml:space="preserve">   недостатки,   поддерживать</w:t>
      </w:r>
    </w:p>
    <w:p w:rsidR="009F67A6" w:rsidRDefault="009F67A6">
      <w:pPr>
        <w:pStyle w:val="ConsPlusNonformat"/>
        <w:jc w:val="both"/>
      </w:pPr>
      <w:proofErr w:type="gramStart"/>
      <w:r>
        <w:t>коммутационную  аппаратуру</w:t>
      </w:r>
      <w:proofErr w:type="gramEnd"/>
      <w:r>
        <w:t xml:space="preserve">  и  электроустановки  в  исправном  состоянии  в</w:t>
      </w:r>
    </w:p>
    <w:p w:rsidR="009F67A6" w:rsidRDefault="009F67A6">
      <w:pPr>
        <w:pStyle w:val="ConsPlusNonformat"/>
        <w:jc w:val="both"/>
      </w:pPr>
      <w:r>
        <w:t>соответствии с ПУЭ, ПЭЭП и ПОТ РМ.</w:t>
      </w:r>
    </w:p>
    <w:p w:rsidR="009F67A6" w:rsidRDefault="009F67A6">
      <w:pPr>
        <w:pStyle w:val="ConsPlusNonformat"/>
        <w:jc w:val="both"/>
      </w:pPr>
    </w:p>
    <w:p w:rsidR="009F67A6" w:rsidRDefault="009F67A6">
      <w:pPr>
        <w:pStyle w:val="ConsPlusNonformat"/>
        <w:jc w:val="both"/>
      </w:pPr>
      <w:r>
        <w:t xml:space="preserve">Абонент __________ </w:t>
      </w:r>
      <w:proofErr w:type="gramStart"/>
      <w:r>
        <w:t>( _</w:t>
      </w:r>
      <w:proofErr w:type="gramEnd"/>
      <w:r>
        <w:t>_________ )      Субабонент __________ ( __________ )</w:t>
      </w:r>
    </w:p>
    <w:p w:rsidR="009F67A6" w:rsidRDefault="009F67A6">
      <w:pPr>
        <w:pStyle w:val="ConsPlusNonformat"/>
        <w:jc w:val="both"/>
      </w:pPr>
      <w:r>
        <w:t>Группа ___________________             Группа ___________________</w:t>
      </w:r>
    </w:p>
    <w:p w:rsidR="009F67A6" w:rsidRDefault="009F67A6">
      <w:pPr>
        <w:pStyle w:val="ConsPlusNonformat"/>
        <w:jc w:val="both"/>
      </w:pPr>
      <w:r>
        <w:t>Удостоверение N _________________      Удостоверение N _________________</w:t>
      </w:r>
    </w:p>
    <w:p w:rsidR="009F67A6" w:rsidRDefault="009F67A6">
      <w:pPr>
        <w:pStyle w:val="ConsPlusNonformat"/>
        <w:jc w:val="both"/>
      </w:pPr>
      <w:r>
        <w:t>от " __ " __________________           от " __ "_____________</w:t>
      </w:r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rmal"/>
        <w:jc w:val="center"/>
      </w:pPr>
      <w:r>
        <w:t>3. Технические меры безопасности</w:t>
      </w:r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rmal"/>
        <w:ind w:firstLine="540"/>
        <w:jc w:val="both"/>
      </w:pPr>
      <w:r>
        <w:t>3.1. Техническими мерами безопасности при подключении передвижных электроустановок являются:</w:t>
      </w:r>
    </w:p>
    <w:p w:rsidR="009F67A6" w:rsidRDefault="009F67A6">
      <w:pPr>
        <w:pStyle w:val="ConsPlusNormal"/>
        <w:ind w:firstLine="540"/>
        <w:jc w:val="both"/>
      </w:pPr>
      <w:r>
        <w:t>3.1.1. Зануление в сочетании с повторным заземлением.</w:t>
      </w:r>
    </w:p>
    <w:p w:rsidR="009F67A6" w:rsidRDefault="009F67A6">
      <w:pPr>
        <w:pStyle w:val="ConsPlusNormal"/>
        <w:ind w:firstLine="540"/>
        <w:jc w:val="both"/>
      </w:pPr>
      <w:r>
        <w:t>3.1.2. Зануление в сочетании с защитным отключением.</w:t>
      </w:r>
    </w:p>
    <w:p w:rsidR="009F67A6" w:rsidRDefault="009F67A6">
      <w:pPr>
        <w:pStyle w:val="ConsPlusNormal"/>
        <w:ind w:firstLine="540"/>
        <w:jc w:val="both"/>
      </w:pPr>
      <w:r>
        <w:t>3.2. Заземление (зануление) передвижных трехфазных электроприемников во всех случаях осуществляется четвертой жилой питающего кабеля. Сечение этой жилы должно быть таким же, как и у фазного проводника.</w:t>
      </w:r>
    </w:p>
    <w:p w:rsidR="009F67A6" w:rsidRDefault="009F67A6">
      <w:pPr>
        <w:pStyle w:val="ConsPlusNormal"/>
        <w:ind w:firstLine="540"/>
        <w:jc w:val="both"/>
      </w:pPr>
      <w:r>
        <w:lastRenderedPageBreak/>
        <w:t>3.3. Повторное защитное заземление корпуса передвижной электроустановки осуществляется гибким медным видимым проводником сечением не менее 4 кв. мм до ближайшей заземленной металлоконструкции, стационарного заземленного аппарата или шины заземления. Не допускается последовательное заземление.</w:t>
      </w:r>
    </w:p>
    <w:p w:rsidR="009F67A6" w:rsidRDefault="009F67A6">
      <w:pPr>
        <w:pStyle w:val="ConsPlusNormal"/>
        <w:ind w:firstLine="540"/>
        <w:jc w:val="both"/>
      </w:pPr>
      <w:r>
        <w:t>3.4. При использовании защитного отключения в качестве защитной меры в передвижных электроустановках питающее напряжение должно отключаться устройствами, установленными до ввода в установку. Применение повторного защитного заземления не требуется.</w:t>
      </w:r>
    </w:p>
    <w:p w:rsidR="009F67A6" w:rsidRDefault="009F67A6">
      <w:pPr>
        <w:pStyle w:val="ConsPlusNormal"/>
        <w:ind w:firstLine="540"/>
        <w:jc w:val="both"/>
      </w:pPr>
      <w:r>
        <w:t>3.5. Напряжение на передвижную электроустановку подается после ее осмотра и проверки состояния изоляции кабеля, а также целостности всех жил питающего кабеля и проводника повторного заземлителя.</w:t>
      </w:r>
    </w:p>
    <w:p w:rsidR="009F67A6" w:rsidRDefault="009F67A6">
      <w:pPr>
        <w:pStyle w:val="ConsPlusNormal"/>
        <w:ind w:firstLine="540"/>
        <w:jc w:val="both"/>
      </w:pPr>
      <w:r>
        <w:t>3.6. Напряжение на передвижную электроустановку подается через защитную и коммутационную аппаратуру. Расстояние от первого коммутационного аппарата до передвижной электроустановки не более 10 м (см. Приложения).</w:t>
      </w:r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rmal"/>
        <w:ind w:firstLine="540"/>
        <w:jc w:val="both"/>
      </w:pPr>
    </w:p>
    <w:p w:rsidR="009F67A6" w:rsidRDefault="009F6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20B" w:rsidRDefault="002A520B"/>
    <w:sectPr w:rsidR="002A520B" w:rsidSect="00FA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A6"/>
    <w:rsid w:val="002A520B"/>
    <w:rsid w:val="009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656E-E358-4ACD-97A9-7B89F84D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2057011722BF5E7395C739AF027473A320352CA80095637CDEE0Ef756J" TargetMode="External"/><Relationship Id="rId5" Type="http://schemas.openxmlformats.org/officeDocument/2006/relationships/hyperlink" Target="consultantplus://offline/ref=FA12057011722BF5E7395C7083F027473F370356C882545C3F94E20C71fE5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2015-10-08T09:57:00Z</dcterms:created>
  <dcterms:modified xsi:type="dcterms:W3CDTF">2015-10-08T09:58:00Z</dcterms:modified>
</cp:coreProperties>
</file>